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2D charts</w:t>
      </w:r>
      <w:bookmarkEnd w:id="1"/>
    </w:p>
    <w:p>
      <w:pPr>
        <w:sectPr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pStyle w:val="Heading2"/>
      </w:pPr>
      <w:bookmarkStart w:id="2" w:name="_Toc2"/>
      <w:r>
        <w:t>Pie</w:t>
      </w:r>
      <w:bookmarkEnd w:id="2"/>
    </w:p>
    <w:p>
      <w:r>
        <w:drawing>
          <wp:inline>
            <wp:extent cx="2286000" cy="1828800"/>
            <wp:docPr id="7" name="Chart7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/>
    <w:p>
      <w:pPr>
        <w:pStyle w:val="Heading2"/>
      </w:pPr>
      <w:bookmarkStart w:id="3" w:name="_Toc3"/>
      <w:r>
        <w:t>Doughnut</w:t>
      </w:r>
      <w:bookmarkEnd w:id="3"/>
    </w:p>
    <w:p>
      <w:r>
        <w:drawing>
          <wp:inline>
            <wp:extent cx="2286000" cy="1828800"/>
            <wp:docPr id="8" name="Chart8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/>
    <w:p>
      <w:pPr>
        <w:pStyle w:val="Heading2"/>
      </w:pPr>
      <w:bookmarkStart w:id="4" w:name="_Toc4"/>
      <w:r>
        <w:t>Bar</w:t>
      </w:r>
      <w:bookmarkEnd w:id="4"/>
    </w:p>
    <w:p>
      <w:r>
        <w:drawing>
          <wp:inline>
            <wp:extent cx="2286000" cy="1828800"/>
            <wp:docPr id="9" name="Chart9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/>
    <w:p>
      <w:pPr>
        <w:pStyle w:val="Heading2"/>
      </w:pPr>
      <w:bookmarkStart w:id="5" w:name="_Toc5"/>
      <w:r>
        <w:t>Column</w:t>
      </w:r>
      <w:bookmarkEnd w:id="5"/>
    </w:p>
    <w:p>
      <w:r>
        <w:drawing>
          <wp:inline>
            <wp:extent cx="2286000" cy="1828800"/>
            <wp:docPr id="10" name="Chart10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/>
    <w:p>
      <w:pPr>
        <w:pStyle w:val="Heading2"/>
      </w:pPr>
      <w:bookmarkStart w:id="6" w:name="_Toc6"/>
      <w:r>
        <w:t>Line</w:t>
      </w:r>
      <w:bookmarkEnd w:id="6"/>
    </w:p>
    <w:p>
      <w:r>
        <w:drawing>
          <wp:inline>
            <wp:extent cx="2286000" cy="1828800"/>
            <wp:docPr id="11" name="Chart11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/>
    <w:p>
      <w:pPr>
        <w:pStyle w:val="Heading2"/>
      </w:pPr>
      <w:bookmarkStart w:id="7" w:name="_Toc7"/>
      <w:r>
        <w:t>Area</w:t>
      </w:r>
      <w:bookmarkEnd w:id="7"/>
    </w:p>
    <w:p>
      <w:r>
        <w:drawing>
          <wp:inline>
            <wp:extent cx="2286000" cy="1828800"/>
            <wp:docPr id="12" name="Chart12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/>
    <w:p>
      <w:pPr>
        <w:pStyle w:val="Heading2"/>
      </w:pPr>
      <w:bookmarkStart w:id="8" w:name="_Toc8"/>
      <w:r>
        <w:t>Scatter</w:t>
      </w:r>
      <w:bookmarkEnd w:id="8"/>
    </w:p>
    <w:p>
      <w:r>
        <w:drawing>
          <wp:inline>
            <wp:extent cx="2286000" cy="1828800"/>
            <wp:docPr id="13" name="Chart13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/>
    <w:p>
      <w:pPr>
        <w:pStyle w:val="Heading2"/>
      </w:pPr>
      <w:bookmarkStart w:id="9" w:name="_Toc9"/>
      <w:r>
        <w:t>Radar</w:t>
      </w:r>
      <w:bookmarkEnd w:id="9"/>
    </w:p>
    <w:p>
      <w:r>
        <w:drawing>
          <wp:inline>
            <wp:extent cx="2286000" cy="1828800"/>
            <wp:docPr id="14" name="Chart14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/>
    <w:p>
      <w:pPr>
        <w:sectPr>
          <w:type w:val="continuous"/>
          <w:pgSz w:orient="portrait" w:w="11870" w:h="16787"/>
          <w:pgMar w:top="1440" w:right="1440" w:bottom="1440" w:left="1440" w:header="720" w:footer="720" w:gutter="0"/>
          <w:cols w:num="2" w:space="720"/>
        </w:sectPr>
      </w:pPr>
    </w:p>
    <w:p>
      <w:pPr>
        <w:pStyle w:val="Heading1"/>
      </w:pPr>
      <w:bookmarkStart w:id="10" w:name="_Toc10"/>
      <w:r>
        <w:t>3D charts</w:t>
      </w:r>
      <w:bookmarkEnd w:id="10"/>
    </w:p>
    <w:p>
      <w:pPr>
        <w:sectPr>
          <w:type w:val="continuous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pStyle w:val="Heading2"/>
      </w:pPr>
      <w:bookmarkStart w:id="11" w:name="_Toc11"/>
      <w:r>
        <w:t>Pie</w:t>
      </w:r>
      <w:bookmarkEnd w:id="11"/>
    </w:p>
    <w:p>
      <w:r>
        <w:drawing>
          <wp:inline>
            <wp:extent cx="1800000" cy="1440000"/>
            <wp:docPr id="15" name="Chart15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/>
    <w:p>
      <w:pPr>
        <w:pStyle w:val="Heading2"/>
      </w:pPr>
      <w:bookmarkStart w:id="12" w:name="_Toc12"/>
      <w:r>
        <w:t>Bar</w:t>
      </w:r>
      <w:bookmarkEnd w:id="12"/>
    </w:p>
    <w:p>
      <w:r>
        <w:drawing>
          <wp:inline>
            <wp:extent cx="1800000" cy="1440000"/>
            <wp:docPr id="16" name="Chart16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/>
    <w:p>
      <w:pPr>
        <w:pStyle w:val="Heading2"/>
      </w:pPr>
      <w:bookmarkStart w:id="13" w:name="_Toc13"/>
      <w:r>
        <w:t>Column</w:t>
      </w:r>
      <w:bookmarkEnd w:id="13"/>
    </w:p>
    <w:p>
      <w:r>
        <w:drawing>
          <wp:inline>
            <wp:extent cx="1800000" cy="1440000"/>
            <wp:docPr id="17" name="Chart17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/>
    <w:p>
      <w:pPr>
        <w:pStyle w:val="Heading2"/>
      </w:pPr>
      <w:bookmarkStart w:id="14" w:name="_Toc14"/>
      <w:r>
        <w:t>Line</w:t>
      </w:r>
      <w:bookmarkEnd w:id="14"/>
    </w:p>
    <w:p>
      <w:r>
        <w:drawing>
          <wp:inline>
            <wp:extent cx="1800000" cy="1440000"/>
            <wp:docPr id="18" name="Chart18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/>
    <w:p>
      <w:pPr>
        <w:pStyle w:val="Heading2"/>
      </w:pPr>
      <w:bookmarkStart w:id="15" w:name="_Toc15"/>
      <w:r>
        <w:t>Area</w:t>
      </w:r>
      <w:bookmarkEnd w:id="15"/>
    </w:p>
    <w:p>
      <w:r>
        <w:drawing>
          <wp:inline>
            <wp:extent cx="1800000" cy="1440000"/>
            <wp:docPr id="19" name="Chart19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/>
    <w:sectPr>
      <w:type w:val="continuous"/>
      <w:pgSz w:orient="portrait" w:w="11870" w:h="16787"/>
      <w:pgMar w:top="1440" w:right="1440" w:bottom="1440" w:left="1440" w:header="720" w:footer="720" w:gutter="0"/>
      <w:cols w:num="2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</w:rPr>
  </w:style>
  <w:style w:type="paragraph" w:styleId="Heading2">
    <w:link w:val="Heading2Char"/>
    <w:name w:val="heading 2"/>
    <w:basedOn w:val="Normal"/>
    <w:pPr>
      <w:keepNext w:val="1"/>
      <w:spacing w:before="240"/>
    </w:pPr>
    <w:rPr>
      <w:sz w:val="28"/>
      <w:szCs w:val="28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chart" Target="charts/chart1.xml"/><Relationship Id="rId8" Type="http://schemas.openxmlformats.org/officeDocument/2006/relationships/chart" Target="charts/chart2.xml"/><Relationship Id="rId9" Type="http://schemas.openxmlformats.org/officeDocument/2006/relationships/chart" Target="charts/chart3.xml"/><Relationship Id="rId10" Type="http://schemas.openxmlformats.org/officeDocument/2006/relationships/chart" Target="charts/chart4.xml"/><Relationship Id="rId11" Type="http://schemas.openxmlformats.org/officeDocument/2006/relationships/chart" Target="charts/chart5.xml"/><Relationship Id="rId12" Type="http://schemas.openxmlformats.org/officeDocument/2006/relationships/chart" Target="charts/chart6.xml"/><Relationship Id="rId13" Type="http://schemas.openxmlformats.org/officeDocument/2006/relationships/chart" Target="charts/chart7.xml"/><Relationship Id="rId14" Type="http://schemas.openxmlformats.org/officeDocument/2006/relationships/chart" Target="charts/chart8.xml"/><Relationship Id="rId15" Type="http://schemas.openxmlformats.org/officeDocument/2006/relationships/chart" Target="charts/chart9.xml"/><Relationship Id="rId16" Type="http://schemas.openxmlformats.org/officeDocument/2006/relationships/chart" Target="charts/chart10.xml"/><Relationship Id="rId17" Type="http://schemas.openxmlformats.org/officeDocument/2006/relationships/chart" Target="charts/chart11.xml"/><Relationship Id="rId18" Type="http://schemas.openxmlformats.org/officeDocument/2006/relationships/chart" Target="charts/chart12.xml"/><Relationship Id="rId19" Type="http://schemas.openxmlformats.org/officeDocument/2006/relationships/chart" Target="charts/chart1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plotArea>
      <c:layout/>
      <c:pieChart>
        <c:varyColors val="1"/>
        <c:ser>
          <c:idx val="0"/>
          <c:order val="0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</c:pieChart>
    </c:plotArea>
  </c:chart>
  <c:spPr>
    <a:ln>
      <a:noFill/>
    </a:ln>
  </c:spPr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plotArea>
      <c:layout/>
      <c:bar3DChart>
        <c:varyColors val="0"/>
        <c:barDir val="bar"/>
        <c:grouping val="clustered"/>
        <c:ser>
          <c:idx val="0"/>
          <c:order val="0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ser>
          <c:idx val="1"/>
          <c:order val="1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3</c:v>
              </c:pt>
              <c:pt idx="1">
                <c:v>1</c:v>
              </c:pt>
              <c:pt idx="2">
                <c:v>7</c:v>
              </c:pt>
              <c:pt idx="3">
                <c:v>2</c:v>
              </c:pt>
              <c:pt idx="4">
                <c:v>6</c:v>
              </c:pt>
            </c:numLit>
          </c:val>
        </c:ser>
        <c:ser>
          <c:idx val="2"/>
          <c:order val="2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8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axId val="1"/>
        <c:axId val="2"/>
      </c:bar3DChart>
      <c:catAx>
        <c:axId val="1"/>
        <c:axPos val="b"/>
        <c:crossAx val="2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catAx>
      <c:valAx>
        <c:axId val="2"/>
        <c:axPos val="l"/>
        <c:crossAx val="1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valAx>
    </c:plotArea>
  </c:chart>
  <c:spPr>
    <a:ln>
      <a:noFill/>
    </a:ln>
  </c:spPr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plotArea>
      <c:layout/>
      <c:bar3DChart>
        <c:varyColors val="0"/>
        <c:barDir val="col"/>
        <c:grouping val="clustered"/>
        <c:ser>
          <c:idx val="0"/>
          <c:order val="0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ser>
          <c:idx val="1"/>
          <c:order val="1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3</c:v>
              </c:pt>
              <c:pt idx="1">
                <c:v>1</c:v>
              </c:pt>
              <c:pt idx="2">
                <c:v>7</c:v>
              </c:pt>
              <c:pt idx="3">
                <c:v>2</c:v>
              </c:pt>
              <c:pt idx="4">
                <c:v>6</c:v>
              </c:pt>
            </c:numLit>
          </c:val>
        </c:ser>
        <c:ser>
          <c:idx val="2"/>
          <c:order val="2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8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axId val="1"/>
        <c:axId val="2"/>
      </c:bar3DChart>
      <c:catAx>
        <c:axId val="1"/>
        <c:axPos val="b"/>
        <c:crossAx val="2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catAx>
      <c:valAx>
        <c:axId val="2"/>
        <c:axPos val="l"/>
        <c:crossAx val="1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valAx>
    </c:plotArea>
  </c:chart>
  <c:spPr>
    <a:ln>
      <a:noFill/>
    </a:ln>
  </c:spPr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plotArea>
      <c:layout/>
      <c:line3DChart>
        <c:varyColors val="0"/>
        <c:ser>
          <c:idx val="0"/>
          <c:order val="0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ser>
          <c:idx val="1"/>
          <c:order val="1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3</c:v>
              </c:pt>
              <c:pt idx="1">
                <c:v>1</c:v>
              </c:pt>
              <c:pt idx="2">
                <c:v>7</c:v>
              </c:pt>
              <c:pt idx="3">
                <c:v>2</c:v>
              </c:pt>
              <c:pt idx="4">
                <c:v>6</c:v>
              </c:pt>
            </c:numLit>
          </c:val>
        </c:ser>
        <c:ser>
          <c:idx val="2"/>
          <c:order val="2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8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axId val="1"/>
        <c:axId val="2"/>
      </c:line3DChart>
      <c:catAx>
        <c:axId val="1"/>
        <c:axPos val="b"/>
        <c:crossAx val="2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catAx>
      <c:valAx>
        <c:axId val="2"/>
        <c:axPos val="l"/>
        <c:crossAx val="1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valAx>
    </c:plotArea>
  </c:chart>
  <c:spPr>
    <a:ln>
      <a:noFill/>
    </a:ln>
  </c:spPr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plotArea>
      <c:layout/>
      <c:area3DChart>
        <c:varyColors val="0"/>
        <c:grouping val="standard"/>
        <c:ser>
          <c:idx val="0"/>
          <c:order val="0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ser>
          <c:idx val="1"/>
          <c:order val="1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3</c:v>
              </c:pt>
              <c:pt idx="1">
                <c:v>1</c:v>
              </c:pt>
              <c:pt idx="2">
                <c:v>7</c:v>
              </c:pt>
              <c:pt idx="3">
                <c:v>2</c:v>
              </c:pt>
              <c:pt idx="4">
                <c:v>6</c:v>
              </c:pt>
            </c:numLit>
          </c:val>
        </c:ser>
        <c:ser>
          <c:idx val="2"/>
          <c:order val="2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8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axId val="1"/>
        <c:axId val="2"/>
      </c:area3DChart>
      <c:catAx>
        <c:axId val="1"/>
        <c:axPos val="b"/>
        <c:crossAx val="2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catAx>
      <c:valAx>
        <c:axId val="2"/>
        <c:axPos val="l"/>
        <c:crossAx val="1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valAx>
    </c:plotArea>
  </c:chart>
  <c:spPr>
    <a:ln>
      <a:noFill/>
    </a:ln>
  </c:spPr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plotArea>
      <c:layout/>
      <c:doughnutChart>
        <c:varyColors val="1"/>
        <c:holeSize val="75"/>
        <c:ser>
          <c:idx val="0"/>
          <c:order val="0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</c:doughnutChart>
    </c:plotArea>
  </c:chart>
  <c:spPr>
    <a:ln>
      <a:noFill/>
    </a:ln>
  </c:spPr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plotArea>
      <c:layout/>
      <c:barChart>
        <c:varyColors val="0"/>
        <c:barDir val="bar"/>
        <c:grouping val="clustered"/>
        <c:ser>
          <c:idx val="0"/>
          <c:order val="0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ser>
          <c:idx val="1"/>
          <c:order val="1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3</c:v>
              </c:pt>
              <c:pt idx="1">
                <c:v>1</c:v>
              </c:pt>
              <c:pt idx="2">
                <c:v>7</c:v>
              </c:pt>
              <c:pt idx="3">
                <c:v>2</c:v>
              </c:pt>
              <c:pt idx="4">
                <c:v>6</c:v>
              </c:pt>
            </c:numLit>
          </c:val>
        </c:ser>
        <c:ser>
          <c:idx val="2"/>
          <c:order val="2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8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axId val="1"/>
        <c:axId val="2"/>
      </c:barChart>
      <c:catAx>
        <c:axId val="1"/>
        <c:axPos val="b"/>
        <c:crossAx val="2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catAx>
      <c:valAx>
        <c:axId val="2"/>
        <c:axPos val="l"/>
        <c:crossAx val="1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valAx>
    </c:plotArea>
  </c:chart>
  <c:spPr>
    <a:ln>
      <a:noFill/>
    </a:ln>
  </c:spPr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plotArea>
      <c:layout/>
      <c:barChart>
        <c:varyColors val="0"/>
        <c:barDir val="col"/>
        <c:grouping val="clustered"/>
        <c:ser>
          <c:idx val="0"/>
          <c:order val="0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ser>
          <c:idx val="1"/>
          <c:order val="1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3</c:v>
              </c:pt>
              <c:pt idx="1">
                <c:v>1</c:v>
              </c:pt>
              <c:pt idx="2">
                <c:v>7</c:v>
              </c:pt>
              <c:pt idx="3">
                <c:v>2</c:v>
              </c:pt>
              <c:pt idx="4">
                <c:v>6</c:v>
              </c:pt>
            </c:numLit>
          </c:val>
        </c:ser>
        <c:axId val="1"/>
        <c:axId val="2"/>
      </c:barChart>
      <c:catAx>
        <c:axId val="1"/>
        <c:axPos val="b"/>
        <c:crossAx val="2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catAx>
      <c:valAx>
        <c:axId val="2"/>
        <c:axPos val="l"/>
        <c:crossAx val="1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valAx>
    </c:plotArea>
  </c:chart>
  <c:spPr>
    <a:ln>
      <a:noFill/>
    </a:ln>
  </c:spPr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plotArea>
      <c:layout/>
      <c:lineChart>
        <c:varyColors val="0"/>
        <c:ser>
          <c:idx val="0"/>
          <c:order val="0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ser>
          <c:idx val="1"/>
          <c:order val="1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3</c:v>
              </c:pt>
              <c:pt idx="1">
                <c:v>1</c:v>
              </c:pt>
              <c:pt idx="2">
                <c:v>7</c:v>
              </c:pt>
              <c:pt idx="3">
                <c:v>2</c:v>
              </c:pt>
              <c:pt idx="4">
                <c:v>6</c:v>
              </c:pt>
            </c:numLit>
          </c:val>
        </c:ser>
        <c:ser>
          <c:idx val="2"/>
          <c:order val="2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8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axId val="1"/>
        <c:axId val="2"/>
      </c:lineChart>
      <c:catAx>
        <c:axId val="1"/>
        <c:axPos val="b"/>
        <c:crossAx val="2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catAx>
      <c:valAx>
        <c:axId val="2"/>
        <c:axPos val="l"/>
        <c:crossAx val="1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valAx>
    </c:plotArea>
  </c:chart>
  <c:spPr>
    <a:ln>
      <a:noFill/>
    </a:ln>
  </c:spPr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plotArea>
      <c:layout/>
      <c:areaChart>
        <c:varyColors val="0"/>
        <c:grouping val="standard"/>
        <c:ser>
          <c:idx val="0"/>
          <c:order val="0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ser>
          <c:idx val="1"/>
          <c:order val="1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3</c:v>
              </c:pt>
              <c:pt idx="1">
                <c:v>1</c:v>
              </c:pt>
              <c:pt idx="2">
                <c:v>7</c:v>
              </c:pt>
              <c:pt idx="3">
                <c:v>2</c:v>
              </c:pt>
              <c:pt idx="4">
                <c:v>6</c:v>
              </c:pt>
            </c:numLit>
          </c:val>
        </c:ser>
        <c:axId val="1"/>
        <c:axId val="2"/>
      </c:areaChart>
      <c:catAx>
        <c:axId val="1"/>
        <c:axPos val="b"/>
        <c:crossAx val="2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catAx>
      <c:valAx>
        <c:axId val="2"/>
        <c:axPos val="l"/>
        <c:crossAx val="1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valAx>
    </c:plotArea>
  </c:chart>
  <c:spPr>
    <a:ln>
      <a:noFill/>
    </a:ln>
  </c:spPr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plotArea>
      <c:layout/>
      <c:scatterChart>
        <c:varyColors val="0"/>
        <c:scatterStyle val="marker"/>
        <c:ser>
          <c:idx val="0"/>
          <c:order val="0"/>
          <c:spPr>
            <a:ln>
              <a:noFill/>
            </a:ln>
          </c:spPr>
          <c:xVal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xVal>
          <c:yVal>
            <c:numLit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yVal>
        </c:ser>
        <c:ser>
          <c:idx val="1"/>
          <c:order val="1"/>
          <c:spPr>
            <a:ln>
              <a:noFill/>
            </a:ln>
          </c:spPr>
          <c:xVal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xVal>
          <c:yVal>
            <c:numLit>
              <c:pt idx="0">
                <c:v>3</c:v>
              </c:pt>
              <c:pt idx="1">
                <c:v>1</c:v>
              </c:pt>
              <c:pt idx="2">
                <c:v>7</c:v>
              </c:pt>
              <c:pt idx="3">
                <c:v>2</c:v>
              </c:pt>
              <c:pt idx="4">
                <c:v>6</c:v>
              </c:pt>
            </c:numLit>
          </c:yVal>
        </c:ser>
        <c:axId val="1"/>
        <c:axId val="2"/>
      </c:scatterChart>
      <c:catAx>
        <c:axId val="1"/>
        <c:axPos val="b"/>
        <c:crossAx val="2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catAx>
      <c:valAx>
        <c:axId val="2"/>
        <c:axPos val="l"/>
        <c:crossAx val="1"/>
        <c:auto val="1"/>
        <c:delete val="0"/>
        <c:majorTickMark val="none"/>
        <c:minorTickMark val="none"/>
        <c:tickLblPos val="none"/>
        <c:crosses val="autoZero"/>
        <c:scaling>
          <c:orientation val="minMax"/>
        </c:scaling>
        <c:spPr>
          <a:ln>
            <a:solidFill/>
          </a:ln>
        </c:spPr>
      </c:valAx>
    </c:plotArea>
  </c:chart>
  <c:spPr>
    <a:ln>
      <a:noFill/>
    </a:ln>
  </c:spPr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plotArea>
      <c:layout/>
      <c:radarChart>
        <c:varyColors val="0"/>
        <c:radarStyle val="standard"/>
        <c:ser>
          <c:idx val="0"/>
          <c:order val="0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  <c:ser>
          <c:idx val="1"/>
          <c:order val="1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3</c:v>
              </c:pt>
              <c:pt idx="1">
                <c:v>1</c:v>
              </c:pt>
              <c:pt idx="2">
                <c:v>7</c:v>
              </c:pt>
              <c:pt idx="3">
                <c:v>2</c:v>
              </c:pt>
              <c:pt idx="4">
                <c:v>6</c:v>
              </c:pt>
            </c:numLit>
          </c:val>
        </c:ser>
        <c:axId val="1"/>
        <c:axId val="2"/>
      </c:radarChart>
      <c:catAx>
        <c:axId val="1"/>
        <c:axPos val="b"/>
        <c:crossAx val="2"/>
        <c:auto val="1"/>
        <c:delete val="0"/>
        <c:majorTickMark val="none"/>
        <c:minorTickMark val="none"/>
        <c:tickLblPos val="none"/>
        <c:crosses val="autoZero"/>
        <c:majorGridlines/>
        <c:scaling>
          <c:orientation val="minMax"/>
        </c:scaling>
        <c:spPr>
          <a:ln>
            <a:solidFill/>
          </a:ln>
        </c:spPr>
      </c:catAx>
      <c:valAx>
        <c:axId val="2"/>
        <c:axPos val="l"/>
        <c:crossAx val="1"/>
        <c:auto val="1"/>
        <c:delete val="0"/>
        <c:majorTickMark val="none"/>
        <c:minorTickMark val="none"/>
        <c:tickLblPos val="none"/>
        <c:crosses val="autoZero"/>
        <c:majorGridlines/>
        <c:scaling>
          <c:orientation val="minMax"/>
        </c:scaling>
        <c:spPr>
          <a:ln>
            <a:solidFill/>
          </a:ln>
        </c:spPr>
      </c:valAx>
    </c:plotArea>
  </c:chart>
  <c:spPr>
    <a:ln>
      <a:noFill/>
    </a:ln>
  </c:spPr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plotArea>
      <c:layout/>
      <c:pie3DChart>
        <c:varyColors val="1"/>
        <c:ser>
          <c:idx val="0"/>
          <c:order val="0"/>
          <c:cat>
            <c:strLit>
              <c:pt idx="0">
                <c:v>A</c:v>
              </c:pt>
              <c:pt idx="1">
                <c:v>B</c:v>
              </c:pt>
              <c:pt idx="2">
                <c:v>C</c:v>
              </c:pt>
              <c:pt idx="3">
                <c:v>D</c:v>
              </c:pt>
              <c:pt idx="4">
                <c:v>E</c:v>
              </c:pt>
            </c:strLit>
          </c:cat>
          <c:val>
            <c:numLit>
              <c:pt idx="0">
                <c:v>1</c:v>
              </c:pt>
              <c:pt idx="1">
                <c:v>3</c:v>
              </c:pt>
              <c:pt idx="2">
                <c:v>2</c:v>
              </c:pt>
              <c:pt idx="3">
                <c:v>5</c:v>
              </c:pt>
              <c:pt idx="4">
                <c:v>4</c:v>
              </c:pt>
            </c:numLit>
          </c:val>
        </c:ser>
      </c:pie3DChart>
    </c:plotArea>
  </c:chart>
  <c:spPr>
    <a:ln>
      <a:noFill/>
    </a:ln>
  </c:spPr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2025-02-06T22:20:10+00:00</dcterms:created>
  <dcterms:modified xsi:type="dcterms:W3CDTF">2025-02-06T22:20:10+00:00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